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4" w:rsidRPr="00E23818" w:rsidRDefault="00CB77D4" w:rsidP="00CB77D4">
      <w:pPr>
        <w:ind w:right="1"/>
        <w:jc w:val="center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 xml:space="preserve">ИЗВЕЩЕНИЕ </w:t>
      </w:r>
    </w:p>
    <w:p w:rsidR="00CB77D4" w:rsidRPr="00E23818" w:rsidRDefault="00CB77D4" w:rsidP="00CB77D4">
      <w:pPr>
        <w:ind w:right="1"/>
        <w:jc w:val="center"/>
        <w:rPr>
          <w:sz w:val="20"/>
          <w:szCs w:val="20"/>
        </w:rPr>
      </w:pPr>
      <w:r w:rsidRPr="00E23818">
        <w:rPr>
          <w:sz w:val="20"/>
          <w:szCs w:val="20"/>
        </w:rPr>
        <w:t>о внесении изменений</w:t>
      </w:r>
    </w:p>
    <w:p w:rsidR="00CB77D4" w:rsidRPr="00E23818" w:rsidRDefault="00CB77D4" w:rsidP="002F5044">
      <w:pPr>
        <w:ind w:right="1"/>
        <w:jc w:val="center"/>
        <w:rPr>
          <w:b/>
          <w:sz w:val="20"/>
          <w:szCs w:val="20"/>
        </w:rPr>
      </w:pPr>
      <w:r w:rsidRPr="00E23818">
        <w:rPr>
          <w:sz w:val="20"/>
          <w:szCs w:val="20"/>
        </w:rPr>
        <w:t xml:space="preserve">в документацию </w:t>
      </w:r>
      <w:r w:rsidR="002F5044" w:rsidRPr="00E23818">
        <w:rPr>
          <w:sz w:val="20"/>
          <w:szCs w:val="20"/>
        </w:rPr>
        <w:t>открытого аукциона в электронной форме № 3-АУКЦ/16</w:t>
      </w:r>
    </w:p>
    <w:p w:rsidR="00CB77D4" w:rsidRPr="00E23818" w:rsidRDefault="00CB77D4" w:rsidP="00CB77D4">
      <w:pPr>
        <w:jc w:val="center"/>
        <w:rPr>
          <w:sz w:val="20"/>
          <w:szCs w:val="20"/>
        </w:rPr>
      </w:pPr>
      <w:proofErr w:type="gramStart"/>
      <w:r w:rsidRPr="00E23818">
        <w:rPr>
          <w:sz w:val="20"/>
          <w:szCs w:val="20"/>
        </w:rPr>
        <w:t>(официальный номер на общероссийском сайте Российской Федерации для размещения</w:t>
      </w:r>
      <w:proofErr w:type="gramEnd"/>
    </w:p>
    <w:p w:rsidR="00CB77D4" w:rsidRPr="00E23818" w:rsidRDefault="00CB77D4" w:rsidP="00CB77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23818">
        <w:rPr>
          <w:sz w:val="20"/>
          <w:szCs w:val="20"/>
        </w:rPr>
        <w:t>информации о размещении заказов  №</w:t>
      </w:r>
      <w:r w:rsidR="0049250B" w:rsidRPr="00E23818">
        <w:rPr>
          <w:sz w:val="20"/>
          <w:szCs w:val="20"/>
        </w:rPr>
        <w:t xml:space="preserve"> </w:t>
      </w:r>
      <w:r w:rsidR="002F5044" w:rsidRPr="00E23818">
        <w:rPr>
          <w:sz w:val="20"/>
          <w:szCs w:val="20"/>
        </w:rPr>
        <w:t>31603462779</w:t>
      </w:r>
      <w:r w:rsidRPr="00E23818">
        <w:rPr>
          <w:sz w:val="20"/>
          <w:szCs w:val="20"/>
        </w:rPr>
        <w:t>)</w:t>
      </w:r>
    </w:p>
    <w:p w:rsidR="00CB77D4" w:rsidRPr="00E23818" w:rsidRDefault="00CB77D4" w:rsidP="00CB77D4">
      <w:pPr>
        <w:ind w:left="-540" w:right="1"/>
        <w:jc w:val="center"/>
        <w:rPr>
          <w:b/>
          <w:sz w:val="20"/>
          <w:szCs w:val="20"/>
        </w:rPr>
      </w:pPr>
    </w:p>
    <w:p w:rsidR="00CB77D4" w:rsidRPr="00E23818" w:rsidRDefault="00CB77D4" w:rsidP="00CB77D4">
      <w:pPr>
        <w:ind w:right="1"/>
        <w:jc w:val="right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>Решение принято «</w:t>
      </w:r>
      <w:r w:rsidR="007B2878" w:rsidRPr="00E23818">
        <w:rPr>
          <w:b/>
          <w:sz w:val="20"/>
          <w:szCs w:val="20"/>
        </w:rPr>
        <w:t>25</w:t>
      </w:r>
      <w:r w:rsidRPr="00E23818">
        <w:rPr>
          <w:b/>
          <w:sz w:val="20"/>
          <w:szCs w:val="20"/>
        </w:rPr>
        <w:t xml:space="preserve">» </w:t>
      </w:r>
      <w:r w:rsidR="007B2878" w:rsidRPr="00E23818">
        <w:rPr>
          <w:b/>
          <w:sz w:val="20"/>
          <w:szCs w:val="20"/>
        </w:rPr>
        <w:t>марта</w:t>
      </w:r>
      <w:r w:rsidR="0049250B" w:rsidRPr="00E23818">
        <w:rPr>
          <w:b/>
          <w:sz w:val="20"/>
          <w:szCs w:val="20"/>
        </w:rPr>
        <w:t xml:space="preserve"> </w:t>
      </w:r>
      <w:r w:rsidR="00AE1822" w:rsidRPr="00E23818">
        <w:rPr>
          <w:b/>
          <w:sz w:val="20"/>
          <w:szCs w:val="20"/>
        </w:rPr>
        <w:t>201</w:t>
      </w:r>
      <w:r w:rsidR="007B2878" w:rsidRPr="00E23818">
        <w:rPr>
          <w:b/>
          <w:sz w:val="20"/>
          <w:szCs w:val="20"/>
        </w:rPr>
        <w:t>6</w:t>
      </w:r>
      <w:r w:rsidRPr="00E23818">
        <w:rPr>
          <w:b/>
          <w:sz w:val="20"/>
          <w:szCs w:val="20"/>
        </w:rPr>
        <w:t xml:space="preserve"> года</w:t>
      </w:r>
    </w:p>
    <w:p w:rsidR="00CB77D4" w:rsidRPr="00E23818" w:rsidRDefault="00CB77D4" w:rsidP="00CB77D4">
      <w:pPr>
        <w:ind w:right="1"/>
        <w:contextualSpacing/>
        <w:jc w:val="both"/>
        <w:rPr>
          <w:b/>
          <w:sz w:val="20"/>
          <w:szCs w:val="20"/>
        </w:rPr>
      </w:pPr>
    </w:p>
    <w:p w:rsidR="00CB77D4" w:rsidRPr="00E23818" w:rsidRDefault="00CB77D4" w:rsidP="00CB77D4">
      <w:pPr>
        <w:ind w:right="1"/>
        <w:contextualSpacing/>
        <w:jc w:val="both"/>
        <w:rPr>
          <w:sz w:val="20"/>
          <w:szCs w:val="20"/>
        </w:rPr>
      </w:pPr>
      <w:r w:rsidRPr="00E23818">
        <w:rPr>
          <w:b/>
          <w:sz w:val="20"/>
          <w:szCs w:val="20"/>
        </w:rPr>
        <w:t xml:space="preserve">1. Способ определения поставщика (исполнителя, подрядчика): </w:t>
      </w:r>
      <w:r w:rsidR="007B2878" w:rsidRPr="00E23818">
        <w:rPr>
          <w:sz w:val="20"/>
          <w:szCs w:val="20"/>
        </w:rPr>
        <w:t>открытого аукциона в электронной форме</w:t>
      </w:r>
    </w:p>
    <w:p w:rsidR="007E1C3C" w:rsidRPr="00E23818" w:rsidRDefault="007E1C3C" w:rsidP="007E1C3C">
      <w:pPr>
        <w:suppressAutoHyphens/>
        <w:snapToGrid w:val="0"/>
        <w:rPr>
          <w:b/>
          <w:bCs/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 xml:space="preserve">2. Государственный заказчик: </w:t>
      </w:r>
      <w:r w:rsidRPr="00E23818">
        <w:rPr>
          <w:sz w:val="20"/>
          <w:szCs w:val="20"/>
          <w:lang w:eastAsia="ar-SA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proofErr w:type="gramStart"/>
      <w:r w:rsidRPr="00E23818">
        <w:rPr>
          <w:b/>
          <w:bCs/>
          <w:sz w:val="20"/>
          <w:szCs w:val="20"/>
          <w:lang w:eastAsia="ar-SA"/>
        </w:rPr>
        <w:t>Место нахождение</w:t>
      </w:r>
      <w:proofErr w:type="gramEnd"/>
      <w:r w:rsidRPr="00E23818">
        <w:rPr>
          <w:b/>
          <w:bCs/>
          <w:sz w:val="20"/>
          <w:szCs w:val="20"/>
          <w:lang w:eastAsia="ar-SA"/>
        </w:rPr>
        <w:t>:</w:t>
      </w:r>
      <w:r w:rsidRPr="00E23818">
        <w:rPr>
          <w:sz w:val="20"/>
          <w:szCs w:val="20"/>
          <w:lang w:eastAsia="ar-SA"/>
        </w:rPr>
        <w:t xml:space="preserve"> Иркутская область, город Иркутск, </w:t>
      </w:r>
      <w:proofErr w:type="gramStart"/>
      <w:r w:rsidRPr="00E23818">
        <w:rPr>
          <w:sz w:val="20"/>
          <w:szCs w:val="20"/>
          <w:lang w:eastAsia="ar-SA"/>
        </w:rPr>
        <w:t>м-н</w:t>
      </w:r>
      <w:proofErr w:type="gramEnd"/>
      <w:r w:rsidRPr="00E23818">
        <w:rPr>
          <w:sz w:val="20"/>
          <w:szCs w:val="20"/>
          <w:lang w:eastAsia="ar-SA"/>
        </w:rPr>
        <w:t xml:space="preserve"> Юбилейный, 100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>Почтовый адрес:</w:t>
      </w:r>
      <w:r w:rsidRPr="00E23818">
        <w:rPr>
          <w:sz w:val="20"/>
          <w:szCs w:val="20"/>
          <w:lang w:eastAsia="ar-SA"/>
        </w:rPr>
        <w:t xml:space="preserve"> 664049, Иркутская область, город Иркутск, </w:t>
      </w:r>
      <w:proofErr w:type="gramStart"/>
      <w:r w:rsidRPr="00E23818">
        <w:rPr>
          <w:sz w:val="20"/>
          <w:szCs w:val="20"/>
          <w:lang w:eastAsia="ar-SA"/>
        </w:rPr>
        <w:t>м-н</w:t>
      </w:r>
      <w:proofErr w:type="gramEnd"/>
      <w:r w:rsidRPr="00E23818">
        <w:rPr>
          <w:sz w:val="20"/>
          <w:szCs w:val="20"/>
          <w:lang w:eastAsia="ar-SA"/>
        </w:rPr>
        <w:t xml:space="preserve"> Юбилейный, 100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>Адрес электронной почты:</w:t>
      </w:r>
      <w:r w:rsidRPr="00E23818">
        <w:rPr>
          <w:b/>
          <w:sz w:val="20"/>
          <w:szCs w:val="20"/>
          <w:lang w:eastAsia="ar-SA"/>
        </w:rPr>
        <w:t xml:space="preserve"> </w:t>
      </w:r>
      <w:proofErr w:type="spellStart"/>
      <w:r w:rsidR="00A75104" w:rsidRPr="00E23818">
        <w:rPr>
          <w:b/>
          <w:sz w:val="20"/>
          <w:szCs w:val="20"/>
          <w:lang w:val="en-US" w:eastAsia="ar-SA"/>
        </w:rPr>
        <w:t>chaush</w:t>
      </w:r>
      <w:proofErr w:type="spellEnd"/>
      <w:r w:rsidR="00A75104" w:rsidRPr="00E23818">
        <w:rPr>
          <w:b/>
          <w:sz w:val="20"/>
          <w:szCs w:val="20"/>
          <w:lang w:eastAsia="ar-SA"/>
        </w:rPr>
        <w:t>_</w:t>
      </w:r>
      <w:proofErr w:type="spellStart"/>
      <w:r w:rsidR="00A75104" w:rsidRPr="00E23818">
        <w:rPr>
          <w:b/>
          <w:sz w:val="20"/>
          <w:szCs w:val="20"/>
          <w:lang w:val="en-US" w:eastAsia="ar-SA"/>
        </w:rPr>
        <w:t>tv</w:t>
      </w:r>
      <w:proofErr w:type="spellEnd"/>
      <w:r w:rsidR="00A75104" w:rsidRPr="00E23818">
        <w:rPr>
          <w:b/>
          <w:sz w:val="20"/>
          <w:szCs w:val="20"/>
          <w:lang w:eastAsia="ar-SA"/>
        </w:rPr>
        <w:t>@</w:t>
      </w:r>
      <w:proofErr w:type="spellStart"/>
      <w:r w:rsidR="00A75104" w:rsidRPr="00E23818">
        <w:rPr>
          <w:b/>
          <w:sz w:val="20"/>
          <w:szCs w:val="20"/>
          <w:lang w:val="en-US" w:eastAsia="ar-SA"/>
        </w:rPr>
        <w:t>iokb</w:t>
      </w:r>
      <w:proofErr w:type="spellEnd"/>
      <w:r w:rsidR="00A75104" w:rsidRPr="00E23818">
        <w:rPr>
          <w:b/>
          <w:sz w:val="20"/>
          <w:szCs w:val="20"/>
          <w:lang w:eastAsia="ar-SA"/>
        </w:rPr>
        <w:t>.</w:t>
      </w:r>
      <w:proofErr w:type="spellStart"/>
      <w:r w:rsidR="00A75104" w:rsidRPr="00E23818">
        <w:rPr>
          <w:b/>
          <w:sz w:val="20"/>
          <w:szCs w:val="20"/>
          <w:lang w:val="en-US" w:eastAsia="ar-SA"/>
        </w:rPr>
        <w:t>ru</w:t>
      </w:r>
      <w:proofErr w:type="spellEnd"/>
    </w:p>
    <w:p w:rsidR="007E1C3C" w:rsidRPr="00E23818" w:rsidRDefault="007E1C3C" w:rsidP="007E1C3C">
      <w:pPr>
        <w:suppressAutoHyphens/>
        <w:rPr>
          <w:sz w:val="20"/>
          <w:szCs w:val="20"/>
        </w:rPr>
      </w:pPr>
      <w:r w:rsidRPr="00E23818">
        <w:rPr>
          <w:b/>
          <w:bCs/>
          <w:sz w:val="20"/>
          <w:szCs w:val="20"/>
          <w:lang w:eastAsia="ar-SA"/>
        </w:rPr>
        <w:t>Номер  контактного телефона</w:t>
      </w:r>
      <w:r w:rsidRPr="00E23818">
        <w:rPr>
          <w:color w:val="0000FF"/>
          <w:sz w:val="20"/>
          <w:szCs w:val="20"/>
          <w:u w:val="single"/>
          <w:lang w:eastAsia="ar-SA"/>
        </w:rPr>
        <w:t xml:space="preserve">: </w:t>
      </w:r>
      <w:r w:rsidR="00AE1822" w:rsidRPr="00E23818">
        <w:rPr>
          <w:sz w:val="20"/>
          <w:szCs w:val="20"/>
        </w:rPr>
        <w:t xml:space="preserve">(3952) </w:t>
      </w:r>
      <w:r w:rsidR="00A75104" w:rsidRPr="00E23818">
        <w:rPr>
          <w:sz w:val="20"/>
          <w:szCs w:val="20"/>
        </w:rPr>
        <w:t>40</w:t>
      </w:r>
      <w:r w:rsidR="00AE1822" w:rsidRPr="00E23818">
        <w:rPr>
          <w:sz w:val="20"/>
          <w:szCs w:val="20"/>
        </w:rPr>
        <w:t>-</w:t>
      </w:r>
      <w:r w:rsidR="00A75104" w:rsidRPr="00E23818">
        <w:rPr>
          <w:sz w:val="20"/>
          <w:szCs w:val="20"/>
        </w:rPr>
        <w:t>77</w:t>
      </w:r>
      <w:r w:rsidRPr="00E23818">
        <w:rPr>
          <w:sz w:val="20"/>
          <w:szCs w:val="20"/>
        </w:rPr>
        <w:t>-23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>Ответственное должностное лицо заказчика:</w:t>
      </w:r>
      <w:r w:rsidRPr="00E23818">
        <w:rPr>
          <w:sz w:val="20"/>
          <w:szCs w:val="20"/>
          <w:lang w:eastAsia="ar-SA"/>
        </w:rPr>
        <w:t xml:space="preserve"> </w:t>
      </w:r>
      <w:r w:rsidR="00A75104" w:rsidRPr="00E23818">
        <w:rPr>
          <w:sz w:val="20"/>
          <w:szCs w:val="20"/>
          <w:lang w:eastAsia="ar-SA"/>
        </w:rPr>
        <w:t xml:space="preserve">Чауш </w:t>
      </w:r>
      <w:r w:rsidR="00250925" w:rsidRPr="00E23818">
        <w:rPr>
          <w:sz w:val="20"/>
          <w:szCs w:val="20"/>
          <w:lang w:eastAsia="ar-SA"/>
        </w:rPr>
        <w:t xml:space="preserve"> </w:t>
      </w:r>
      <w:r w:rsidR="00A75104" w:rsidRPr="00E23818">
        <w:rPr>
          <w:sz w:val="20"/>
          <w:szCs w:val="20"/>
          <w:lang w:eastAsia="ar-SA"/>
        </w:rPr>
        <w:t>Т</w:t>
      </w:r>
      <w:r w:rsidR="00250925" w:rsidRPr="00E23818">
        <w:rPr>
          <w:sz w:val="20"/>
          <w:szCs w:val="20"/>
          <w:lang w:eastAsia="ar-SA"/>
        </w:rPr>
        <w:t>.</w:t>
      </w:r>
      <w:r w:rsidR="00A75104" w:rsidRPr="00E23818">
        <w:rPr>
          <w:sz w:val="20"/>
          <w:szCs w:val="20"/>
          <w:lang w:eastAsia="ar-SA"/>
        </w:rPr>
        <w:t>В</w:t>
      </w:r>
      <w:r w:rsidR="00250925" w:rsidRPr="00E23818">
        <w:rPr>
          <w:sz w:val="20"/>
          <w:szCs w:val="20"/>
          <w:lang w:eastAsia="ar-SA"/>
        </w:rPr>
        <w:t>.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r w:rsidRPr="00E23818">
        <w:rPr>
          <w:b/>
          <w:sz w:val="20"/>
          <w:szCs w:val="20"/>
          <w:lang w:eastAsia="ar-SA"/>
        </w:rPr>
        <w:t>Сотрудник контрактной службы (контрактный управляющий), ответственный за заключение контракта</w:t>
      </w:r>
      <w:r w:rsidRPr="00E23818">
        <w:rPr>
          <w:b/>
          <w:bCs/>
          <w:sz w:val="20"/>
          <w:szCs w:val="20"/>
          <w:lang w:eastAsia="ar-SA"/>
        </w:rPr>
        <w:t>:</w:t>
      </w:r>
      <w:r w:rsidRPr="00E23818">
        <w:rPr>
          <w:sz w:val="20"/>
          <w:szCs w:val="20"/>
          <w:lang w:eastAsia="ar-SA"/>
        </w:rPr>
        <w:t xml:space="preserve"> </w:t>
      </w:r>
      <w:r w:rsidR="00A75104" w:rsidRPr="00E23818">
        <w:rPr>
          <w:sz w:val="20"/>
          <w:szCs w:val="20"/>
          <w:lang w:eastAsia="ar-SA"/>
        </w:rPr>
        <w:t>Комелькова М. И</w:t>
      </w:r>
      <w:r w:rsidR="00AE1822" w:rsidRPr="00E23818">
        <w:rPr>
          <w:sz w:val="20"/>
          <w:szCs w:val="20"/>
          <w:lang w:eastAsia="ar-SA"/>
        </w:rPr>
        <w:t>.</w:t>
      </w:r>
    </w:p>
    <w:p w:rsidR="007E1C3C" w:rsidRPr="00E23818" w:rsidRDefault="007E1C3C" w:rsidP="007E1C3C">
      <w:pPr>
        <w:suppressAutoHyphens/>
        <w:rPr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 xml:space="preserve">Номер  контактного телефона: </w:t>
      </w:r>
      <w:r w:rsidRPr="00E23818">
        <w:rPr>
          <w:sz w:val="20"/>
          <w:szCs w:val="20"/>
          <w:lang w:eastAsia="ar-SA"/>
        </w:rPr>
        <w:t xml:space="preserve"> </w:t>
      </w:r>
      <w:r w:rsidRPr="00E23818">
        <w:rPr>
          <w:bCs/>
          <w:iCs/>
          <w:sz w:val="20"/>
          <w:szCs w:val="20"/>
          <w:lang w:eastAsia="ar-SA"/>
        </w:rPr>
        <w:t>(3952) 40-77-23</w:t>
      </w:r>
    </w:p>
    <w:p w:rsidR="007E1C3C" w:rsidRPr="00E23818" w:rsidRDefault="007E1C3C" w:rsidP="007E1C3C">
      <w:pPr>
        <w:tabs>
          <w:tab w:val="left" w:pos="993"/>
        </w:tabs>
        <w:suppressAutoHyphens/>
        <w:rPr>
          <w:sz w:val="20"/>
          <w:szCs w:val="20"/>
          <w:lang w:eastAsia="ar-SA"/>
        </w:rPr>
      </w:pPr>
      <w:r w:rsidRPr="00E23818">
        <w:rPr>
          <w:b/>
          <w:bCs/>
          <w:sz w:val="20"/>
          <w:szCs w:val="20"/>
          <w:lang w:eastAsia="ar-SA"/>
        </w:rPr>
        <w:t>Адрес электронной почты:</w:t>
      </w:r>
      <w:r w:rsidRPr="00E23818">
        <w:rPr>
          <w:sz w:val="20"/>
          <w:szCs w:val="20"/>
          <w:lang w:eastAsia="ar-SA"/>
        </w:rPr>
        <w:t xml:space="preserve"> </w:t>
      </w:r>
      <w:r w:rsidR="00A75104" w:rsidRPr="00E23818">
        <w:rPr>
          <w:sz w:val="20"/>
          <w:szCs w:val="20"/>
        </w:rPr>
        <w:t>komelkova_mi@iokb.ru</w:t>
      </w:r>
    </w:p>
    <w:p w:rsidR="00CB77D4" w:rsidRPr="00E23818" w:rsidRDefault="00CB77D4" w:rsidP="00CB77D4">
      <w:pPr>
        <w:autoSpaceDE w:val="0"/>
        <w:autoSpaceDN w:val="0"/>
        <w:adjustRightInd w:val="0"/>
        <w:ind w:right="1"/>
        <w:contextualSpacing/>
        <w:jc w:val="both"/>
        <w:rPr>
          <w:b/>
          <w:bCs/>
          <w:sz w:val="20"/>
          <w:szCs w:val="20"/>
        </w:rPr>
      </w:pPr>
      <w:r w:rsidRPr="00E23818">
        <w:rPr>
          <w:b/>
          <w:sz w:val="20"/>
          <w:szCs w:val="20"/>
        </w:rPr>
        <w:t xml:space="preserve">4. </w:t>
      </w:r>
      <w:r w:rsidRPr="00E23818">
        <w:rPr>
          <w:b/>
          <w:bCs/>
          <w:sz w:val="20"/>
          <w:szCs w:val="20"/>
        </w:rPr>
        <w:t>Наименование объекта закупки:</w:t>
      </w:r>
      <w:r w:rsidR="0049250B" w:rsidRPr="00E23818">
        <w:rPr>
          <w:b/>
          <w:sz w:val="20"/>
          <w:szCs w:val="20"/>
        </w:rPr>
        <w:t xml:space="preserve"> </w:t>
      </w:r>
      <w:r w:rsidR="00A75104" w:rsidRPr="00E23818">
        <w:rPr>
          <w:bCs/>
          <w:sz w:val="20"/>
          <w:szCs w:val="20"/>
        </w:rPr>
        <w:t xml:space="preserve">Поставка </w:t>
      </w:r>
      <w:r w:rsidR="007B2878" w:rsidRPr="00E23818">
        <w:rPr>
          <w:bCs/>
          <w:sz w:val="20"/>
          <w:szCs w:val="20"/>
        </w:rPr>
        <w:t>переносной ультразвуковой системы экспертного класса</w:t>
      </w:r>
      <w:r w:rsidR="00A75104" w:rsidRPr="00E23818">
        <w:rPr>
          <w:bCs/>
          <w:sz w:val="20"/>
          <w:szCs w:val="20"/>
        </w:rPr>
        <w:t>.</w:t>
      </w:r>
    </w:p>
    <w:p w:rsidR="00CB77D4" w:rsidRPr="00E23818" w:rsidRDefault="00CB77D4" w:rsidP="00CB77D4">
      <w:pPr>
        <w:shd w:val="clear" w:color="auto" w:fill="FFFFFF"/>
        <w:ind w:right="1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>5. Внести следующие изменения в документацию об электронном аукционе:</w:t>
      </w:r>
    </w:p>
    <w:p w:rsidR="007B2878" w:rsidRPr="00E23818" w:rsidRDefault="007B2878" w:rsidP="00CB77D4">
      <w:pPr>
        <w:shd w:val="clear" w:color="auto" w:fill="FFFFFF"/>
        <w:ind w:right="1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>5.1. Пункт 8 документации изложить в следующей редакции:</w:t>
      </w:r>
    </w:p>
    <w:p w:rsidR="007B2878" w:rsidRPr="007B2878" w:rsidRDefault="007B2878" w:rsidP="007B2878">
      <w:pPr>
        <w:tabs>
          <w:tab w:val="left" w:pos="900"/>
        </w:tabs>
        <w:ind w:firstLine="426"/>
        <w:contextualSpacing/>
        <w:jc w:val="both"/>
        <w:rPr>
          <w:rFonts w:eastAsia="Calibri"/>
          <w:b/>
          <w:sz w:val="20"/>
          <w:szCs w:val="20"/>
        </w:rPr>
      </w:pPr>
      <w:r w:rsidRPr="007B2878">
        <w:rPr>
          <w:rFonts w:eastAsia="Calibri"/>
          <w:b/>
          <w:sz w:val="20"/>
          <w:szCs w:val="20"/>
        </w:rPr>
        <w:t xml:space="preserve">8. порядок, место, дата начала и дата окончания срока подачи заявок на участие в закупке. Формы, порядок, дата начала и дата окончания срока предоставления участникам закупки разъяснений положений документации о закупке: 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bCs/>
          <w:sz w:val="20"/>
          <w:szCs w:val="20"/>
        </w:rPr>
        <w:t>З</w:t>
      </w:r>
      <w:r w:rsidRPr="007B2878">
        <w:rPr>
          <w:rFonts w:eastAsia="Calibri"/>
          <w:sz w:val="20"/>
          <w:szCs w:val="20"/>
        </w:rPr>
        <w:t xml:space="preserve">аявки на участие в открытом аукционе в электронной форме подаются в форме электронного документа, подписанного электронной цифровой подписью, на электронной торговой площадке </w:t>
      </w:r>
      <w:hyperlink r:id="rId6" w:history="1">
        <w:r w:rsidRPr="00E23818">
          <w:rPr>
            <w:rFonts w:eastAsia="Calibri"/>
            <w:color w:val="0000FF"/>
            <w:sz w:val="20"/>
            <w:szCs w:val="20"/>
            <w:u w:val="single"/>
          </w:rPr>
          <w:t>http://utp.sberbank-ast.ru</w:t>
        </w:r>
      </w:hyperlink>
      <w:r w:rsidRPr="007B2878">
        <w:rPr>
          <w:rFonts w:eastAsia="Calibri"/>
          <w:sz w:val="20"/>
          <w:szCs w:val="20"/>
        </w:rPr>
        <w:t xml:space="preserve"> .  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Дата начала подачи</w:t>
      </w:r>
      <w:r w:rsidRPr="007B2878">
        <w:rPr>
          <w:rFonts w:eastAsia="Calibri"/>
          <w:bCs/>
          <w:sz w:val="20"/>
          <w:szCs w:val="20"/>
        </w:rPr>
        <w:t xml:space="preserve"> з</w:t>
      </w:r>
      <w:r w:rsidRPr="007B2878">
        <w:rPr>
          <w:rFonts w:eastAsia="Calibri"/>
          <w:sz w:val="20"/>
          <w:szCs w:val="20"/>
        </w:rPr>
        <w:t xml:space="preserve">аявок на участие открытом </w:t>
      </w:r>
      <w:proofErr w:type="gramStart"/>
      <w:r w:rsidRPr="007B2878">
        <w:rPr>
          <w:rFonts w:eastAsia="Calibri"/>
          <w:sz w:val="20"/>
          <w:szCs w:val="20"/>
        </w:rPr>
        <w:t>аукционе</w:t>
      </w:r>
      <w:proofErr w:type="gramEnd"/>
      <w:r w:rsidRPr="007B2878">
        <w:rPr>
          <w:rFonts w:eastAsia="Calibri"/>
          <w:sz w:val="20"/>
          <w:szCs w:val="20"/>
        </w:rPr>
        <w:t xml:space="preserve"> в электронной форме  2</w:t>
      </w:r>
      <w:r w:rsidRPr="00E23818">
        <w:rPr>
          <w:rFonts w:eastAsia="Calibri"/>
          <w:sz w:val="20"/>
          <w:szCs w:val="20"/>
        </w:rPr>
        <w:t>8</w:t>
      </w:r>
      <w:r w:rsidRPr="007B2878">
        <w:rPr>
          <w:rFonts w:eastAsia="Calibri"/>
          <w:sz w:val="20"/>
          <w:szCs w:val="20"/>
        </w:rPr>
        <w:t xml:space="preserve">.03.2016 г. 05 ч.00 мин. (время московское). 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Дата окончания подачи</w:t>
      </w:r>
      <w:r w:rsidRPr="007B2878">
        <w:rPr>
          <w:rFonts w:eastAsia="Calibri"/>
          <w:bCs/>
          <w:sz w:val="20"/>
          <w:szCs w:val="20"/>
        </w:rPr>
        <w:t xml:space="preserve"> з</w:t>
      </w:r>
      <w:r w:rsidRPr="007B2878">
        <w:rPr>
          <w:rFonts w:eastAsia="Calibri"/>
          <w:sz w:val="20"/>
          <w:szCs w:val="20"/>
        </w:rPr>
        <w:t>аявок на участие в открытом аукционе в электронной форме  1</w:t>
      </w:r>
      <w:r w:rsidRPr="00E23818">
        <w:rPr>
          <w:rFonts w:eastAsia="Calibri"/>
          <w:sz w:val="20"/>
          <w:szCs w:val="20"/>
        </w:rPr>
        <w:t>8</w:t>
      </w:r>
      <w:r w:rsidRPr="007B2878">
        <w:rPr>
          <w:rFonts w:eastAsia="Calibri"/>
          <w:sz w:val="20"/>
          <w:szCs w:val="20"/>
        </w:rPr>
        <w:t xml:space="preserve">.04.2016 г. 05 ч.00 мин. (время московское). </w:t>
      </w:r>
    </w:p>
    <w:p w:rsidR="007B2878" w:rsidRPr="00E23818" w:rsidRDefault="007B2878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Любой Участник закупки, получивший аккредитацию на электронной торговой площадке вправе направить в адрес электронной площадки, на которой планируется проведение открытого аукциона в электронной форме, запрос о разъяснении положений документации об открытом аукционе в электронной форме после начала подачи </w:t>
      </w:r>
      <w:r w:rsidRPr="007B2878">
        <w:rPr>
          <w:rFonts w:eastAsia="Calibri"/>
          <w:bCs/>
          <w:sz w:val="20"/>
          <w:szCs w:val="20"/>
        </w:rPr>
        <w:t>з</w:t>
      </w:r>
      <w:r w:rsidRPr="007B2878">
        <w:rPr>
          <w:rFonts w:eastAsia="Calibri"/>
          <w:sz w:val="20"/>
          <w:szCs w:val="20"/>
        </w:rPr>
        <w:t>аявок на участие открытом аукционе в электронной форме. Запрос о разъяснении положений документации об открытом аукционе в электронной форме должен быть написан  на русском языке.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Доступ к возможности запроса о разъяснен</w:t>
      </w:r>
      <w:proofErr w:type="gramStart"/>
      <w:r w:rsidRPr="007B2878">
        <w:rPr>
          <w:rFonts w:eastAsia="Calibri"/>
          <w:sz w:val="20"/>
          <w:szCs w:val="20"/>
        </w:rPr>
        <w:t>ии ау</w:t>
      </w:r>
      <w:proofErr w:type="gramEnd"/>
      <w:r w:rsidRPr="007B2878">
        <w:rPr>
          <w:rFonts w:eastAsia="Calibri"/>
          <w:sz w:val="20"/>
          <w:szCs w:val="20"/>
        </w:rPr>
        <w:t xml:space="preserve">кционной документации закрывается оператором электронной торговой площадки за пять дней до окончания срока подачи заявок. 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При поступлении запроса о разъяснении оператор электронной торговой площадки направляет запрос Заказчику.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В течение 3 (трех)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запроса, но без указания участника закупки, от которого поступил запрос.</w:t>
      </w:r>
    </w:p>
    <w:p w:rsidR="007B2878" w:rsidRPr="007B2878" w:rsidRDefault="007B2878" w:rsidP="007B2878">
      <w:pPr>
        <w:tabs>
          <w:tab w:val="left" w:pos="540"/>
          <w:tab w:val="left" w:pos="90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При проведен</w:t>
      </w:r>
      <w:proofErr w:type="gramStart"/>
      <w:r w:rsidRPr="007B2878">
        <w:rPr>
          <w:rFonts w:eastAsia="Calibri"/>
          <w:sz w:val="20"/>
          <w:szCs w:val="20"/>
        </w:rPr>
        <w:t>ии Ау</w:t>
      </w:r>
      <w:proofErr w:type="gramEnd"/>
      <w:r w:rsidRPr="007B2878">
        <w:rPr>
          <w:rFonts w:eastAsia="Calibri"/>
          <w:sz w:val="20"/>
          <w:szCs w:val="20"/>
        </w:rPr>
        <w:t>кциона в электронной форме какие-либо переговоры Заказчика, Закупочной комиссии и оператора электронной площадки с Участником закупки не допускаются, за исключением случаев предоставления разъяснений в порядке, предусмотренном настоящей Документацией об Аукционе.</w:t>
      </w:r>
    </w:p>
    <w:p w:rsidR="007B2878" w:rsidRPr="00E23818" w:rsidRDefault="007B2878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A75104" w:rsidRPr="00E23818" w:rsidRDefault="00810C28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 xml:space="preserve">5.2 Пункт </w:t>
      </w:r>
      <w:r w:rsidR="007B2878" w:rsidRPr="00E23818">
        <w:rPr>
          <w:b/>
          <w:sz w:val="20"/>
          <w:szCs w:val="20"/>
        </w:rPr>
        <w:t>11 документации изложить в следующей редакции</w:t>
      </w:r>
      <w:r w:rsidRPr="00E23818">
        <w:rPr>
          <w:sz w:val="20"/>
          <w:szCs w:val="20"/>
        </w:rPr>
        <w:t>:</w:t>
      </w:r>
    </w:p>
    <w:p w:rsidR="004E6C8F" w:rsidRPr="00E23818" w:rsidRDefault="004E6C8F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7B2878" w:rsidRPr="007B2878" w:rsidRDefault="007B2878" w:rsidP="007B2878">
      <w:pPr>
        <w:tabs>
          <w:tab w:val="left" w:pos="900"/>
        </w:tabs>
        <w:contextualSpacing/>
        <w:jc w:val="both"/>
        <w:rPr>
          <w:rFonts w:eastAsia="Calibri"/>
          <w:b/>
          <w:sz w:val="20"/>
          <w:szCs w:val="20"/>
        </w:rPr>
      </w:pPr>
      <w:r w:rsidRPr="00E23818">
        <w:rPr>
          <w:rFonts w:eastAsia="Calibri"/>
          <w:b/>
          <w:sz w:val="20"/>
          <w:szCs w:val="20"/>
        </w:rPr>
        <w:t xml:space="preserve">11.  </w:t>
      </w:r>
      <w:r w:rsidRPr="007B2878">
        <w:rPr>
          <w:rFonts w:eastAsia="Calibri"/>
          <w:b/>
          <w:sz w:val="20"/>
          <w:szCs w:val="20"/>
        </w:rPr>
        <w:t>место и дата рассмотрения предложений (заявок) участников закупки и подведения итогов закупки</w:t>
      </w:r>
      <w:r w:rsidRPr="007B2878">
        <w:rPr>
          <w:rFonts w:eastAsia="Calibri"/>
          <w:sz w:val="20"/>
          <w:szCs w:val="20"/>
        </w:rPr>
        <w:t>:</w:t>
      </w:r>
    </w:p>
    <w:p w:rsidR="007B2878" w:rsidRPr="007B2878" w:rsidRDefault="007B2878" w:rsidP="007B2878">
      <w:pPr>
        <w:tabs>
          <w:tab w:val="left" w:pos="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Закупочная комиссия 1</w:t>
      </w:r>
      <w:r w:rsidRPr="00E23818">
        <w:rPr>
          <w:rFonts w:eastAsia="Calibri"/>
          <w:sz w:val="20"/>
          <w:szCs w:val="20"/>
        </w:rPr>
        <w:t>8</w:t>
      </w:r>
      <w:r w:rsidRPr="007B2878">
        <w:rPr>
          <w:rFonts w:eastAsia="Calibri"/>
          <w:sz w:val="20"/>
          <w:szCs w:val="20"/>
        </w:rPr>
        <w:t>.04.2016 г. в 06:00 ч (время московское) осуществляет рассмотрение заявок на участие в открытом аукционе в электронной форме, которые поступили Заказчику до окончания срока подачи заявок.</w:t>
      </w:r>
    </w:p>
    <w:p w:rsidR="007B2878" w:rsidRPr="00E23818" w:rsidRDefault="007B2878" w:rsidP="007B2878">
      <w:pPr>
        <w:tabs>
          <w:tab w:val="left" w:pos="0"/>
        </w:tabs>
        <w:ind w:firstLine="426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Заседание Закупочной комиссии осуществляется по адресу: г. Иркутск, </w:t>
      </w:r>
      <w:proofErr w:type="gramStart"/>
      <w:r w:rsidRPr="007B2878">
        <w:rPr>
          <w:rFonts w:eastAsia="Calibri"/>
          <w:sz w:val="20"/>
          <w:szCs w:val="20"/>
        </w:rPr>
        <w:t>м-н</w:t>
      </w:r>
      <w:proofErr w:type="gramEnd"/>
      <w:r w:rsidRPr="007B2878">
        <w:rPr>
          <w:rFonts w:eastAsia="Calibri"/>
          <w:sz w:val="20"/>
          <w:szCs w:val="20"/>
        </w:rPr>
        <w:t xml:space="preserve"> Юбилейный, 100. </w:t>
      </w:r>
    </w:p>
    <w:p w:rsidR="007F11A5" w:rsidRPr="007B2878" w:rsidRDefault="007F11A5" w:rsidP="007B2878">
      <w:pPr>
        <w:tabs>
          <w:tab w:val="left" w:pos="0"/>
        </w:tabs>
        <w:ind w:firstLine="426"/>
        <w:jc w:val="both"/>
        <w:rPr>
          <w:rFonts w:eastAsia="Calibri"/>
          <w:sz w:val="20"/>
          <w:szCs w:val="20"/>
        </w:rPr>
      </w:pPr>
    </w:p>
    <w:p w:rsidR="007B2878" w:rsidRPr="00E23818" w:rsidRDefault="007F11A5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 xml:space="preserve">  5.3 Пункт 13 документации изложить в следующей редакции:</w:t>
      </w:r>
    </w:p>
    <w:p w:rsidR="007F11A5" w:rsidRPr="00E23818" w:rsidRDefault="007F11A5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7B2878" w:rsidRPr="007B2878" w:rsidRDefault="007B2878" w:rsidP="007B2878">
      <w:pPr>
        <w:tabs>
          <w:tab w:val="left" w:pos="900"/>
        </w:tabs>
        <w:ind w:left="426"/>
        <w:contextualSpacing/>
        <w:jc w:val="both"/>
        <w:rPr>
          <w:rFonts w:eastAsia="Calibri"/>
          <w:b/>
          <w:sz w:val="20"/>
          <w:szCs w:val="20"/>
        </w:rPr>
      </w:pPr>
      <w:r w:rsidRPr="00E23818">
        <w:rPr>
          <w:rFonts w:eastAsia="Calibri"/>
          <w:b/>
          <w:sz w:val="20"/>
          <w:szCs w:val="20"/>
        </w:rPr>
        <w:t xml:space="preserve">13.  </w:t>
      </w:r>
      <w:r w:rsidRPr="007B2878">
        <w:rPr>
          <w:rFonts w:eastAsia="Calibri"/>
          <w:b/>
          <w:sz w:val="20"/>
          <w:szCs w:val="20"/>
        </w:rPr>
        <w:t>Порядок проведения открытого аукциона в электронной форме (торговой сессии):</w:t>
      </w:r>
    </w:p>
    <w:p w:rsidR="007B2878" w:rsidRPr="007B2878" w:rsidRDefault="007B2878" w:rsidP="007B2878">
      <w:pPr>
        <w:tabs>
          <w:tab w:val="left" w:pos="900"/>
        </w:tabs>
        <w:contextualSpacing/>
        <w:jc w:val="both"/>
        <w:rPr>
          <w:rFonts w:eastAsia="Calibri"/>
          <w:sz w:val="20"/>
          <w:szCs w:val="20"/>
        </w:rPr>
      </w:pP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Торговая сессия проводится </w:t>
      </w:r>
      <w:r w:rsidRPr="00E23818">
        <w:rPr>
          <w:rFonts w:eastAsia="Calibri"/>
          <w:sz w:val="20"/>
          <w:szCs w:val="20"/>
        </w:rPr>
        <w:t>21</w:t>
      </w:r>
      <w:r w:rsidRPr="007B2878">
        <w:rPr>
          <w:rFonts w:eastAsia="Calibri"/>
          <w:sz w:val="20"/>
          <w:szCs w:val="20"/>
        </w:rPr>
        <w:t>.04.2016 г. в 05 ч. 00 мин. (время московское).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Подача предложений о цене в ходе торговой сессии при проведен</w:t>
      </w:r>
      <w:proofErr w:type="gramStart"/>
      <w:r w:rsidRPr="007B2878">
        <w:rPr>
          <w:rFonts w:eastAsia="Calibri"/>
          <w:sz w:val="20"/>
          <w:szCs w:val="20"/>
        </w:rPr>
        <w:t>ии ау</w:t>
      </w:r>
      <w:proofErr w:type="gramEnd"/>
      <w:r w:rsidRPr="007B2878">
        <w:rPr>
          <w:rFonts w:eastAsia="Calibri"/>
          <w:sz w:val="20"/>
          <w:szCs w:val="20"/>
        </w:rPr>
        <w:t>кциона не проводится в случаях, если: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1) на участие в аукционе не подано ни одной заявки;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2)в ходе определения участников аукциона, все заявки на участие отклонены;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3) в результате определения участников аукциона Участником аукциона признан только один Участник;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4) аукцион отменен Заказчиком.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В торговой сессии имеют право принимать участие только Участники аукциона, допущенные к участию в аукционе в соответствии с протоколом.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С момента начала торговой сесс</w:t>
      </w:r>
      <w:proofErr w:type="gramStart"/>
      <w:r w:rsidRPr="007B2878">
        <w:rPr>
          <w:rFonts w:eastAsia="Calibri"/>
          <w:sz w:val="20"/>
          <w:szCs w:val="20"/>
        </w:rPr>
        <w:t>ии у У</w:t>
      </w:r>
      <w:proofErr w:type="gramEnd"/>
      <w:r w:rsidRPr="007B2878">
        <w:rPr>
          <w:rFonts w:eastAsia="Calibri"/>
          <w:sz w:val="20"/>
          <w:szCs w:val="20"/>
        </w:rPr>
        <w:t>частников аукциона появляется возможность ввода предложений о цене посредством штатного интерфейса закрытой части. Ввод предложений о цене возможен в течение установленного временного интервала (времени) для подачи предложений о цене.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При проведении торговой сессии Участники аукциона подают предложения о цене согласно шагу – от 0,5 % до 5 % начальной (максимальной) цены договора. 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Оператор электронной торговой площадки размещает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 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Если в течение времени для подачи предложений о цене не поступает ни одного предложения о цене, торговая сессия автоматически при помощи программных и технических средств завершается.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В ходе проведения торговой сессии Оператор электронной торговой площадки автоматически отклоняет предложение о цене в момент его поступления, в случае если: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1) предложение о цене предоставлено до начала или по истечении установленного времени для подачи предложений о цене;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2) представленное предложение о цене превышает начальную цену договора, в случае, если начальная цена договора установлена при проведении закупки;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3) представленное предложение о цене ниже начальной цены договора, в случае, если начальная цена договора установлена при проведении продажи;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4) представленное предложение о цене равно нулю;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5) представленное предложение о цене не соответствует шагу торгов;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6) представленное Участником предложение о цене больше или равно предложению о цене, ранее представленному таким Участником;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7) представленное Участником предложение о цене при проведении закупки меньше его предыдущего предложения о цене, если предыдущее предложение такого Участника является текущим лучшим предложением о цене;</w:t>
      </w:r>
    </w:p>
    <w:p w:rsidR="007B2878" w:rsidRPr="007B2878" w:rsidRDefault="007B2878" w:rsidP="007B2878">
      <w:pPr>
        <w:spacing w:line="252" w:lineRule="auto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8) представленное Участником предложение о цене при проведении продажи больше его предыдущего предложения о цене, если предыдущее предложение такого Участника является текущим лучшим предложением о цене. 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Участник аукциона в ходе торговой сессии при проведении процедуры закупки вправе подать предложение о цене, которое будет ниже его предыдущего предложения о цене, в случае, если его предыдущее предложение о цене не является текущим лучшим предложением о цене.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Участник аукциона в ходе торговой сессии при проведении процедуры продажи вправе подать предложение о цене, которое будет выше его предыдущего предложения о цене, в случае, если его предыдущее предложение о цене не является текущим лучшим предложением о цене.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цене, принятого Оператором.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 В ходе торговой сессии время для подачи предложений о цене определяется в следующем порядке: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 время для подачи первого предложения о цене составляет 20 (двадцать) минут с момента начала торговой сессии;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 xml:space="preserve"> в случае поступления предложения о цене, являющегося лучшим текущим предложением о цене, время для подачи предложений о цене продлевается на 20 (двадцать) минут с момента приема Оператором каждого из таких предложений. Если в течение 20 (двадцати) минут после предоставления лучшего текущего предложения о цене не поступило следующее лучшее предложение о цене, торговая сессия автоматически, при помощи программных и технических средств  завершается.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Оператор публикует журнал хода торгов, где указывает лучшие предложения о цене, поданные участниками в ходе торговой сессии.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lastRenderedPageBreak/>
        <w:t>Победителем аукциона при проведении закупки признается Участник аукциона, предложивший наиболее низкую цену договора. Если при проведен</w:t>
      </w:r>
      <w:proofErr w:type="gramStart"/>
      <w:r w:rsidRPr="007B2878">
        <w:rPr>
          <w:rFonts w:eastAsia="Calibri"/>
          <w:sz w:val="20"/>
          <w:szCs w:val="20"/>
        </w:rPr>
        <w:t>ии ау</w:t>
      </w:r>
      <w:proofErr w:type="gramEnd"/>
      <w:r w:rsidRPr="007B2878">
        <w:rPr>
          <w:rFonts w:eastAsia="Calibri"/>
          <w:sz w:val="20"/>
          <w:szCs w:val="20"/>
        </w:rPr>
        <w:t>кциона на закупку цена договора снижена до нуля и аукцион проводится на право заключить договор, победителем аукциона признается Участник, предложивший наиболее высокую цену договора.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Победитель аукциона определяется Оператором электронной торговой площадки с помощью программных и технических средств.</w:t>
      </w:r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proofErr w:type="gramStart"/>
      <w:r w:rsidRPr="007B2878">
        <w:rPr>
          <w:rFonts w:eastAsia="Calibri"/>
          <w:sz w:val="20"/>
          <w:szCs w:val="20"/>
        </w:rPr>
        <w:t xml:space="preserve">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аукциона, допущенного к участию, но не сделавшего предложения о цене во время торговой сессии при проведении аукциона в размере депозита, и в размере обеспечения, в случае, если требование о наличии обеспечения установлено в извещении, документации о закупке. </w:t>
      </w:r>
      <w:proofErr w:type="gramEnd"/>
    </w:p>
    <w:p w:rsidR="007B2878" w:rsidRPr="007B2878" w:rsidRDefault="007B2878" w:rsidP="007B2878">
      <w:pPr>
        <w:spacing w:line="252" w:lineRule="auto"/>
        <w:ind w:firstLine="360"/>
        <w:jc w:val="both"/>
        <w:rPr>
          <w:rFonts w:eastAsia="Calibri"/>
          <w:sz w:val="20"/>
          <w:szCs w:val="20"/>
        </w:rPr>
      </w:pPr>
      <w:r w:rsidRPr="007B2878">
        <w:rPr>
          <w:rFonts w:eastAsia="Calibri"/>
          <w:sz w:val="20"/>
          <w:szCs w:val="20"/>
        </w:rPr>
        <w:t>По итогам проведения аукциона составляется протокол аукциона, который размещается Заказчиком на официальном сайте не позднее чем через три дня со дня подписания такого протокола.</w:t>
      </w:r>
    </w:p>
    <w:p w:rsidR="007B2878" w:rsidRPr="00E23818" w:rsidRDefault="007F11A5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>5.4 Пункт 6</w:t>
      </w:r>
      <w:r w:rsidR="00D61305" w:rsidRPr="00E23818">
        <w:rPr>
          <w:b/>
          <w:sz w:val="20"/>
          <w:szCs w:val="20"/>
        </w:rPr>
        <w:t xml:space="preserve"> документации и п. 4.4 проекта договора</w:t>
      </w:r>
      <w:r w:rsidRPr="00E23818">
        <w:rPr>
          <w:b/>
          <w:sz w:val="20"/>
          <w:szCs w:val="20"/>
        </w:rPr>
        <w:t xml:space="preserve"> изложить в следующей редакции:</w:t>
      </w:r>
    </w:p>
    <w:p w:rsidR="007F11A5" w:rsidRPr="00E23818" w:rsidRDefault="007F11A5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7F11A5" w:rsidRPr="007F11A5" w:rsidRDefault="007F11A5" w:rsidP="007F11A5">
      <w:pPr>
        <w:rPr>
          <w:snapToGrid w:val="0"/>
          <w:spacing w:val="-6"/>
          <w:sz w:val="20"/>
          <w:szCs w:val="20"/>
        </w:rPr>
      </w:pPr>
      <w:r w:rsidRPr="007F11A5">
        <w:rPr>
          <w:snapToGrid w:val="0"/>
          <w:spacing w:val="-6"/>
          <w:sz w:val="20"/>
          <w:szCs w:val="20"/>
        </w:rPr>
        <w:t xml:space="preserve">Расчеты производятся безналичным способом, </w:t>
      </w:r>
      <w:r w:rsidRPr="007F11A5">
        <w:rPr>
          <w:snapToGrid w:val="0"/>
          <w:sz w:val="20"/>
          <w:szCs w:val="20"/>
        </w:rPr>
        <w:t>в рублях Российской Федерации</w:t>
      </w:r>
      <w:r w:rsidRPr="007F11A5">
        <w:rPr>
          <w:snapToGrid w:val="0"/>
          <w:spacing w:val="-6"/>
          <w:sz w:val="20"/>
          <w:szCs w:val="20"/>
        </w:rPr>
        <w:t xml:space="preserve">, путем перечисления денежных средств на расчетный счет Поставщика. </w:t>
      </w:r>
    </w:p>
    <w:p w:rsidR="007F11A5" w:rsidRPr="007F11A5" w:rsidRDefault="007F11A5" w:rsidP="007F11A5">
      <w:pPr>
        <w:ind w:firstLine="426"/>
        <w:contextualSpacing/>
        <w:jc w:val="both"/>
        <w:rPr>
          <w:rFonts w:eastAsia="Calibri"/>
          <w:sz w:val="20"/>
          <w:szCs w:val="20"/>
        </w:rPr>
      </w:pPr>
      <w:r w:rsidRPr="007F11A5">
        <w:rPr>
          <w:rFonts w:eastAsia="Calibri"/>
          <w:sz w:val="20"/>
          <w:szCs w:val="20"/>
        </w:rPr>
        <w:t xml:space="preserve">Оплата производится по факту поставки и  ввода в эксплуатацию оборудования в течение двух лет в следующем порядке. </w:t>
      </w:r>
    </w:p>
    <w:p w:rsidR="007F11A5" w:rsidRPr="00E23818" w:rsidRDefault="007F11A5" w:rsidP="007F11A5">
      <w:pPr>
        <w:ind w:firstLine="426"/>
        <w:contextualSpacing/>
        <w:jc w:val="both"/>
        <w:rPr>
          <w:sz w:val="20"/>
          <w:szCs w:val="20"/>
        </w:rPr>
      </w:pPr>
      <w:r w:rsidRPr="007F11A5">
        <w:rPr>
          <w:rFonts w:eastAsia="Calibri"/>
          <w:sz w:val="20"/>
          <w:szCs w:val="20"/>
        </w:rPr>
        <w:t xml:space="preserve">Первый платеж  в размере </w:t>
      </w:r>
      <w:r w:rsidRPr="00E23818">
        <w:rPr>
          <w:rFonts w:eastAsia="Calibri"/>
          <w:sz w:val="20"/>
          <w:szCs w:val="20"/>
        </w:rPr>
        <w:t xml:space="preserve"> 995 000,00</w:t>
      </w:r>
      <w:r w:rsidRPr="007F11A5">
        <w:rPr>
          <w:rFonts w:eastAsia="Calibri"/>
          <w:sz w:val="20"/>
          <w:szCs w:val="20"/>
        </w:rPr>
        <w:t xml:space="preserve"> (</w:t>
      </w:r>
      <w:r w:rsidRPr="00E23818">
        <w:rPr>
          <w:rFonts w:eastAsia="Calibri"/>
          <w:sz w:val="20"/>
          <w:szCs w:val="20"/>
        </w:rPr>
        <w:t>девятьсот девяносто пять тысяч</w:t>
      </w:r>
      <w:r w:rsidRPr="007F11A5">
        <w:rPr>
          <w:rFonts w:eastAsia="Calibri"/>
          <w:sz w:val="20"/>
          <w:szCs w:val="20"/>
        </w:rPr>
        <w:t xml:space="preserve">) рублей производится в течение 120 банковских дней </w:t>
      </w:r>
      <w:r w:rsidRPr="007F11A5">
        <w:rPr>
          <w:sz w:val="20"/>
          <w:szCs w:val="20"/>
        </w:rPr>
        <w:t>с момента подписания обеими Сторонами надлежаще оформленного Акта ввода в эксплуатацию,</w:t>
      </w:r>
    </w:p>
    <w:p w:rsidR="007F11A5" w:rsidRPr="007F11A5" w:rsidRDefault="007F11A5" w:rsidP="007F11A5">
      <w:pPr>
        <w:ind w:firstLine="426"/>
        <w:contextualSpacing/>
        <w:jc w:val="both"/>
        <w:rPr>
          <w:rFonts w:eastAsia="Calibri"/>
          <w:sz w:val="20"/>
          <w:szCs w:val="20"/>
        </w:rPr>
      </w:pPr>
      <w:r w:rsidRPr="00E23818">
        <w:rPr>
          <w:sz w:val="20"/>
          <w:szCs w:val="20"/>
        </w:rPr>
        <w:t>Второй платеж в размере  995 000,00 (девятьсот девяносто пять тысяч) рублей до 31.11.2016 г.</w:t>
      </w:r>
      <w:r w:rsidRPr="007F11A5">
        <w:rPr>
          <w:rFonts w:eastAsia="Calibri"/>
          <w:sz w:val="20"/>
          <w:szCs w:val="20"/>
        </w:rPr>
        <w:t xml:space="preserve">; остальная сумма оплачивается </w:t>
      </w:r>
      <w:r w:rsidRPr="00E23818">
        <w:rPr>
          <w:rFonts w:eastAsia="Calibri"/>
          <w:sz w:val="20"/>
          <w:szCs w:val="20"/>
        </w:rPr>
        <w:t xml:space="preserve">ежемесячно равными долями </w:t>
      </w:r>
      <w:r w:rsidRPr="007F11A5">
        <w:rPr>
          <w:rFonts w:eastAsia="Calibri"/>
          <w:sz w:val="20"/>
          <w:szCs w:val="20"/>
        </w:rPr>
        <w:t>до 31 декабря 2017 г.</w:t>
      </w:r>
    </w:p>
    <w:p w:rsidR="007F11A5" w:rsidRPr="00E23818" w:rsidRDefault="007F11A5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7B2878" w:rsidRDefault="008659A6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5.5</w:t>
      </w:r>
      <w:proofErr w:type="gramStart"/>
      <w:r>
        <w:rPr>
          <w:b/>
          <w:sz w:val="20"/>
          <w:szCs w:val="20"/>
        </w:rPr>
        <w:t xml:space="preserve">  В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пп</w:t>
      </w:r>
      <w:proofErr w:type="spellEnd"/>
      <w:r>
        <w:rPr>
          <w:b/>
          <w:sz w:val="20"/>
          <w:szCs w:val="20"/>
        </w:rPr>
        <w:t xml:space="preserve">. 3.12, </w:t>
      </w:r>
      <w:proofErr w:type="spellStart"/>
      <w:r>
        <w:rPr>
          <w:b/>
          <w:sz w:val="20"/>
          <w:szCs w:val="20"/>
        </w:rPr>
        <w:t>пп</w:t>
      </w:r>
      <w:proofErr w:type="spellEnd"/>
      <w:r>
        <w:rPr>
          <w:b/>
          <w:sz w:val="20"/>
          <w:szCs w:val="20"/>
        </w:rPr>
        <w:t>.</w:t>
      </w:r>
      <w:r w:rsidRPr="008659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7.10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пп</w:t>
      </w:r>
      <w:proofErr w:type="spellEnd"/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8.13</w:t>
      </w:r>
      <w:r>
        <w:rPr>
          <w:b/>
          <w:sz w:val="20"/>
          <w:szCs w:val="20"/>
        </w:rPr>
        <w:t xml:space="preserve"> пункта 1 документации изложить в следующей редакции:</w:t>
      </w:r>
    </w:p>
    <w:p w:rsidR="008659A6" w:rsidRDefault="008659A6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820"/>
        <w:gridCol w:w="6220"/>
        <w:gridCol w:w="2746"/>
      </w:tblGrid>
      <w:tr w:rsidR="008659A6" w:rsidRPr="008659A6" w:rsidTr="00086AAE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8659A6" w:rsidRDefault="008659A6" w:rsidP="008659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419100</wp:posOffset>
                      </wp:positionV>
                      <wp:extent cx="5010150" cy="10058400"/>
                      <wp:effectExtent l="0" t="0" r="0" b="0"/>
                      <wp:wrapNone/>
                      <wp:docPr id="1037" name="Прямоугольник 10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5000625" cy="1003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7" o:spid="_x0000_s1026" style="position:absolute;margin-left:40.5pt;margin-top:33pt;width:394.5pt;height:11in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419100</wp:posOffset>
                      </wp:positionV>
                      <wp:extent cx="5010150" cy="10896600"/>
                      <wp:effectExtent l="0" t="0" r="0" b="0"/>
                      <wp:wrapNone/>
                      <wp:docPr id="1038" name="Прямоугольник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5000625" cy="1087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8" o:spid="_x0000_s1026" style="position:absolute;margin-left:40.5pt;margin-top:33pt;width:394.5pt;height:858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419100</wp:posOffset>
                      </wp:positionV>
                      <wp:extent cx="5010150" cy="10896600"/>
                      <wp:effectExtent l="0" t="0" r="0" b="0"/>
                      <wp:wrapNone/>
                      <wp:docPr id="1039" name="Прямоугольник 10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5000625" cy="1087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9" o:spid="_x0000_s1026" style="position:absolute;margin-left:40.5pt;margin-top:33pt;width:394.5pt;height:858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419100</wp:posOffset>
                      </wp:positionV>
                      <wp:extent cx="5010150" cy="10896600"/>
                      <wp:effectExtent l="0" t="0" r="0" b="0"/>
                      <wp:wrapNone/>
                      <wp:docPr id="1040" name="Прямоугольник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5000625" cy="1087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0" o:spid="_x0000_s1026" style="position:absolute;margin-left:40.5pt;margin-top:33pt;width:394.5pt;height:858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8659A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659A6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8659A6" w:rsidRDefault="008659A6" w:rsidP="008659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59A6">
              <w:rPr>
                <w:b/>
                <w:bCs/>
                <w:color w:val="000000"/>
                <w:sz w:val="20"/>
                <w:szCs w:val="20"/>
              </w:rPr>
              <w:t>Название/параметр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6" w:rsidRPr="008659A6" w:rsidRDefault="008659A6" w:rsidP="008659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59A6">
              <w:rPr>
                <w:b/>
                <w:bCs/>
                <w:color w:val="000000"/>
                <w:sz w:val="20"/>
                <w:szCs w:val="20"/>
              </w:rPr>
              <w:t>Требуемое значение</w:t>
            </w:r>
          </w:p>
        </w:tc>
      </w:tr>
      <w:tr w:rsidR="008659A6" w:rsidRPr="006A374D" w:rsidTr="00086AAE">
        <w:trPr>
          <w:trHeight w:val="7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rPr>
                <w:color w:val="000000"/>
                <w:sz w:val="20"/>
                <w:szCs w:val="20"/>
              </w:rPr>
            </w:pPr>
            <w:r w:rsidRPr="006A374D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374D">
              <w:rPr>
                <w:sz w:val="20"/>
                <w:szCs w:val="20"/>
              </w:rPr>
              <w:t>рограммно</w:t>
            </w:r>
            <w:r>
              <w:rPr>
                <w:sz w:val="20"/>
                <w:szCs w:val="20"/>
              </w:rPr>
              <w:t>е</w:t>
            </w:r>
            <w:r w:rsidRPr="006A374D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е</w:t>
            </w:r>
            <w:r w:rsidRPr="006A374D">
              <w:rPr>
                <w:sz w:val="20"/>
                <w:szCs w:val="20"/>
              </w:rPr>
              <w:t xml:space="preserve"> для ультразвуковой навигации, улучшения визуализации игл </w:t>
            </w:r>
            <w:proofErr w:type="gramStart"/>
            <w:r w:rsidRPr="006A374D">
              <w:rPr>
                <w:sz w:val="20"/>
                <w:szCs w:val="20"/>
              </w:rPr>
              <w:t>при</w:t>
            </w:r>
            <w:proofErr w:type="gramEnd"/>
            <w:r w:rsidRPr="006A374D">
              <w:rPr>
                <w:sz w:val="20"/>
                <w:szCs w:val="20"/>
              </w:rPr>
              <w:t xml:space="preserve"> </w:t>
            </w:r>
            <w:proofErr w:type="gramStart"/>
            <w:r w:rsidRPr="006A374D">
              <w:rPr>
                <w:sz w:val="20"/>
                <w:szCs w:val="20"/>
              </w:rPr>
              <w:t>выполнения</w:t>
            </w:r>
            <w:proofErr w:type="gramEnd"/>
            <w:r w:rsidRPr="006A374D">
              <w:rPr>
                <w:sz w:val="20"/>
                <w:szCs w:val="20"/>
              </w:rPr>
              <w:t xml:space="preserve"> регионарной анестезии, пункции и катетеризации центральных и периферических сосудов.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</w:t>
            </w:r>
          </w:p>
        </w:tc>
      </w:tr>
      <w:tr w:rsidR="008659A6" w:rsidRPr="006A374D" w:rsidTr="00086A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jc w:val="center"/>
              <w:rPr>
                <w:color w:val="000000"/>
                <w:sz w:val="20"/>
                <w:szCs w:val="20"/>
              </w:rPr>
            </w:pPr>
            <w:r w:rsidRPr="006A374D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6A374D">
              <w:rPr>
                <w:color w:val="000000"/>
                <w:sz w:val="20"/>
                <w:szCs w:val="20"/>
              </w:rPr>
              <w:t xml:space="preserve">/б </w:t>
            </w:r>
            <w:proofErr w:type="spellStart"/>
            <w:r w:rsidRPr="006A374D">
              <w:rPr>
                <w:color w:val="000000"/>
                <w:sz w:val="20"/>
                <w:szCs w:val="20"/>
              </w:rPr>
              <w:t>термовидеопринтер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jc w:val="center"/>
              <w:rPr>
                <w:color w:val="000000"/>
                <w:sz w:val="20"/>
                <w:szCs w:val="20"/>
              </w:rPr>
            </w:pPr>
            <w:r w:rsidRPr="00584C59">
              <w:rPr>
                <w:color w:val="000000"/>
                <w:sz w:val="20"/>
                <w:szCs w:val="20"/>
              </w:rPr>
              <w:t>возможность</w:t>
            </w:r>
          </w:p>
        </w:tc>
      </w:tr>
      <w:tr w:rsidR="008659A6" w:rsidRPr="006A374D" w:rsidTr="00086AA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jc w:val="center"/>
              <w:rPr>
                <w:color w:val="000000"/>
                <w:sz w:val="20"/>
                <w:szCs w:val="20"/>
              </w:rPr>
            </w:pPr>
            <w:r w:rsidRPr="006A374D">
              <w:rPr>
                <w:color w:val="000000"/>
                <w:sz w:val="20"/>
                <w:szCs w:val="20"/>
              </w:rPr>
              <w:t>8.13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9A6" w:rsidRPr="006A374D" w:rsidRDefault="008659A6" w:rsidP="00086A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A374D">
              <w:rPr>
                <w:color w:val="000000"/>
                <w:sz w:val="20"/>
                <w:szCs w:val="20"/>
              </w:rPr>
              <w:t>Транспищеводный</w:t>
            </w:r>
            <w:proofErr w:type="spellEnd"/>
            <w:r w:rsidRPr="006A374D">
              <w:rPr>
                <w:color w:val="000000"/>
                <w:sz w:val="20"/>
                <w:szCs w:val="20"/>
              </w:rPr>
              <w:t xml:space="preserve"> секторный фазированный </w:t>
            </w:r>
            <w:proofErr w:type="spellStart"/>
            <w:r w:rsidRPr="006A374D">
              <w:rPr>
                <w:color w:val="000000"/>
                <w:sz w:val="20"/>
                <w:szCs w:val="20"/>
              </w:rPr>
              <w:t>мультиплановый</w:t>
            </w:r>
            <w:proofErr w:type="spellEnd"/>
            <w:r w:rsidRPr="006A374D">
              <w:rPr>
                <w:color w:val="000000"/>
                <w:sz w:val="20"/>
                <w:szCs w:val="20"/>
              </w:rPr>
              <w:t xml:space="preserve"> датчик для </w:t>
            </w:r>
            <w:proofErr w:type="spellStart"/>
            <w:r w:rsidRPr="006A374D">
              <w:rPr>
                <w:color w:val="000000"/>
                <w:sz w:val="20"/>
                <w:szCs w:val="20"/>
              </w:rPr>
              <w:t>кардиологиических</w:t>
            </w:r>
            <w:proofErr w:type="spellEnd"/>
            <w:r w:rsidRPr="006A374D">
              <w:rPr>
                <w:color w:val="000000"/>
                <w:sz w:val="20"/>
                <w:szCs w:val="20"/>
              </w:rPr>
              <w:t xml:space="preserve"> исследований взрослых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6" w:rsidRPr="006A374D" w:rsidRDefault="008659A6" w:rsidP="00086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84C59">
              <w:rPr>
                <w:color w:val="000000"/>
                <w:sz w:val="20"/>
                <w:szCs w:val="20"/>
              </w:rPr>
              <w:t>озможность</w:t>
            </w:r>
          </w:p>
        </w:tc>
      </w:tr>
    </w:tbl>
    <w:p w:rsidR="008659A6" w:rsidRPr="00E23818" w:rsidRDefault="008659A6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E33B26" w:rsidRPr="00E23818" w:rsidRDefault="004E6C8F" w:rsidP="00E33B2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  <w:r w:rsidRPr="00E23818">
        <w:rPr>
          <w:b/>
          <w:sz w:val="20"/>
          <w:szCs w:val="20"/>
        </w:rPr>
        <w:t xml:space="preserve">  </w:t>
      </w:r>
    </w:p>
    <w:p w:rsidR="004E6C8F" w:rsidRPr="00E23818" w:rsidRDefault="004E6C8F" w:rsidP="00E33B2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4E6C8F" w:rsidRPr="00E23818" w:rsidRDefault="004E6C8F" w:rsidP="00E33B2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  <w:sz w:val="20"/>
          <w:szCs w:val="20"/>
        </w:rPr>
      </w:pPr>
    </w:p>
    <w:p w:rsidR="009C305A" w:rsidRPr="00E23818" w:rsidRDefault="009C305A" w:rsidP="00CB77D4">
      <w:pPr>
        <w:shd w:val="clear" w:color="auto" w:fill="FFFFFF"/>
        <w:ind w:right="1"/>
        <w:contextualSpacing/>
        <w:jc w:val="both"/>
        <w:rPr>
          <w:b/>
          <w:sz w:val="20"/>
          <w:szCs w:val="20"/>
        </w:rPr>
      </w:pPr>
    </w:p>
    <w:p w:rsidR="00111C3B" w:rsidRPr="00E23818" w:rsidRDefault="00111C3B" w:rsidP="00111C3B">
      <w:pPr>
        <w:ind w:firstLine="720"/>
        <w:jc w:val="both"/>
        <w:rPr>
          <w:b/>
          <w:bCs/>
          <w:sz w:val="20"/>
          <w:szCs w:val="20"/>
        </w:rPr>
      </w:pPr>
    </w:p>
    <w:p w:rsidR="00FA1803" w:rsidRPr="00E23818" w:rsidRDefault="00FA1803" w:rsidP="00CB77D4">
      <w:pPr>
        <w:ind w:right="1"/>
        <w:contextualSpacing/>
        <w:rPr>
          <w:b/>
          <w:sz w:val="20"/>
          <w:szCs w:val="20"/>
        </w:rPr>
      </w:pPr>
    </w:p>
    <w:p w:rsidR="00AE1822" w:rsidRPr="00E23818" w:rsidRDefault="00AE1822" w:rsidP="00AE1822">
      <w:pPr>
        <w:rPr>
          <w:sz w:val="20"/>
          <w:szCs w:val="20"/>
        </w:rPr>
      </w:pPr>
      <w:r w:rsidRPr="00E23818">
        <w:rPr>
          <w:rFonts w:eastAsia="Calibri"/>
          <w:sz w:val="20"/>
          <w:szCs w:val="20"/>
          <w:lang w:eastAsia="en-US"/>
        </w:rPr>
        <w:t>Главный врач ГБУЗ «ИОКБ»                                                                            Дудин П.Е.</w:t>
      </w:r>
    </w:p>
    <w:p w:rsidR="00291CFD" w:rsidRPr="00E23818" w:rsidRDefault="00291CFD" w:rsidP="00AE1822">
      <w:pPr>
        <w:rPr>
          <w:sz w:val="20"/>
          <w:szCs w:val="20"/>
        </w:rPr>
      </w:pPr>
    </w:p>
    <w:sectPr w:rsidR="00291CFD" w:rsidRPr="00E23818" w:rsidSect="002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A4F"/>
    <w:multiLevelType w:val="hybridMultilevel"/>
    <w:tmpl w:val="75B05488"/>
    <w:lvl w:ilvl="0" w:tplc="EA60E70A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F04EE9"/>
    <w:multiLevelType w:val="hybridMultilevel"/>
    <w:tmpl w:val="EAD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1B3"/>
    <w:multiLevelType w:val="hybridMultilevel"/>
    <w:tmpl w:val="F9DC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4"/>
    <w:rsid w:val="00012E21"/>
    <w:rsid w:val="000D4492"/>
    <w:rsid w:val="00111C3B"/>
    <w:rsid w:val="00250925"/>
    <w:rsid w:val="00281F52"/>
    <w:rsid w:val="00291CFD"/>
    <w:rsid w:val="002F14DD"/>
    <w:rsid w:val="002F5044"/>
    <w:rsid w:val="0035358A"/>
    <w:rsid w:val="003F2E06"/>
    <w:rsid w:val="0049250B"/>
    <w:rsid w:val="004E6C8F"/>
    <w:rsid w:val="005178B1"/>
    <w:rsid w:val="00602584"/>
    <w:rsid w:val="006028F2"/>
    <w:rsid w:val="006B0F9F"/>
    <w:rsid w:val="00782D3F"/>
    <w:rsid w:val="007B2878"/>
    <w:rsid w:val="007E1C3C"/>
    <w:rsid w:val="007F11A5"/>
    <w:rsid w:val="00810C28"/>
    <w:rsid w:val="008659A6"/>
    <w:rsid w:val="009C305A"/>
    <w:rsid w:val="00A75104"/>
    <w:rsid w:val="00AC0B56"/>
    <w:rsid w:val="00AD67F1"/>
    <w:rsid w:val="00AE1822"/>
    <w:rsid w:val="00BA58B1"/>
    <w:rsid w:val="00BE7AB3"/>
    <w:rsid w:val="00C84D84"/>
    <w:rsid w:val="00CB183F"/>
    <w:rsid w:val="00CB77D4"/>
    <w:rsid w:val="00D5069F"/>
    <w:rsid w:val="00D61305"/>
    <w:rsid w:val="00D77362"/>
    <w:rsid w:val="00DB5CFA"/>
    <w:rsid w:val="00E157CE"/>
    <w:rsid w:val="00E23818"/>
    <w:rsid w:val="00E33B26"/>
    <w:rsid w:val="00E52116"/>
    <w:rsid w:val="00E7201D"/>
    <w:rsid w:val="00F37CA4"/>
    <w:rsid w:val="00F40E7E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  <w:style w:type="paragraph" w:customStyle="1" w:styleId="2">
    <w:name w:val="Знак Знак2"/>
    <w:basedOn w:val="a"/>
    <w:rsid w:val="00A75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281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4E6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  <w:style w:type="paragraph" w:customStyle="1" w:styleId="2">
    <w:name w:val="Знак Знак2"/>
    <w:basedOn w:val="a"/>
    <w:rsid w:val="00A75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281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4E6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Чауш Т.В.</cp:lastModifiedBy>
  <cp:revision>5</cp:revision>
  <cp:lastPrinted>2016-03-25T03:11:00Z</cp:lastPrinted>
  <dcterms:created xsi:type="dcterms:W3CDTF">2016-03-25T02:44:00Z</dcterms:created>
  <dcterms:modified xsi:type="dcterms:W3CDTF">2016-03-25T07:40:00Z</dcterms:modified>
</cp:coreProperties>
</file>